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95" w:rsidRPr="00174E95" w:rsidRDefault="00174E95" w:rsidP="00174E95">
      <w:pPr>
        <w:bidi/>
        <w:ind w:left="360"/>
        <w:jc w:val="center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174E9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به نام خدا</w:t>
      </w:r>
      <w:bookmarkStart w:id="0" w:name="_GoBack"/>
      <w:bookmarkEnd w:id="0"/>
    </w:p>
    <w:p w:rsidR="00174E95" w:rsidRPr="00CD462B" w:rsidRDefault="00174E95" w:rsidP="00174E95">
      <w:pPr>
        <w:bidi/>
        <w:ind w:left="360"/>
        <w:rPr>
          <w:rFonts w:asciiTheme="majorBidi" w:eastAsia="Times New Roman" w:hAnsiTheme="majorBidi" w:cs="B Nazanin"/>
          <w:b/>
          <w:bCs/>
          <w:color w:val="FF0000"/>
          <w:sz w:val="24"/>
          <w:szCs w:val="24"/>
          <w:lang w:bidi="fa-IR"/>
        </w:rPr>
      </w:pPr>
      <w:r w:rsidRPr="00CD462B">
        <w:rPr>
          <w:rFonts w:asciiTheme="majorBidi" w:eastAsia="Times New Roman" w:hAnsiTheme="majorBidi" w:cs="B Nazanin" w:hint="cs"/>
          <w:b/>
          <w:bCs/>
          <w:color w:val="FF0000"/>
          <w:sz w:val="24"/>
          <w:szCs w:val="24"/>
          <w:rtl/>
          <w:lang w:bidi="fa-IR"/>
        </w:rPr>
        <w:t>طرحهای مصوب در سال 1395</w:t>
      </w:r>
    </w:p>
    <w:p w:rsidR="00174E95" w:rsidRPr="00CD462B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مقایسه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آستیگماتیسم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قبل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بعد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عمل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جراحی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ناخنک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بیماران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مبتلا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ناخنک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مراجعه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کننده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بیمارستان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واسعی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شهر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سبزوار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سال 94 </w:t>
      </w:r>
    </w:p>
    <w:p w:rsidR="00174E95" w:rsidRPr="00CD462B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حساسیت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ویژگی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کالپروتکتین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مدفوع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برای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تشخیص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آنتروپاتی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نکروزانت</w:t>
      </w:r>
      <w:r w:rsidRPr="00CD462B">
        <w:rPr>
          <w:rFonts w:asciiTheme="majorBidi" w:hAnsiTheme="majorBidi" w:cs="B Nazanin"/>
          <w:sz w:val="24"/>
          <w:szCs w:val="24"/>
          <w:lang w:bidi="fa-IR"/>
        </w:rPr>
        <w:t xml:space="preserve"> (NEC)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نوزادان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مقایسه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خونی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رادیولوژی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معیار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</w:p>
    <w:p w:rsidR="00174E95" w:rsidRPr="00CD462B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ارتباط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بین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عفونت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هلیکوباکترپیلوری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درماتیت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آتوپیک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درکودکان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زیر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2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سال </w:t>
      </w:r>
    </w:p>
    <w:p w:rsidR="00174E95" w:rsidRPr="00CD462B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مقایسه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تاثیر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پلاسمای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غنی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پلاکت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لیزر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فراکشنال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پلاسمای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غنی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پلاک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سیاهی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زیر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چشم </w:t>
      </w:r>
    </w:p>
    <w:p w:rsidR="00174E95" w:rsidRPr="00CD462B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مقایسه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تاثیر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تامسولوسین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دارونما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پیشگیری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احتباس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ادراری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بعد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جراحی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هرنیورافی،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واریکوسلکتومی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آنورکتال </w:t>
      </w:r>
    </w:p>
    <w:p w:rsidR="00174E95" w:rsidRPr="00CD462B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تاثیر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داروی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آنتی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کولینرژیک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یوروفلومتری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بیماران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مبتلا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بزرگی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خوش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خیم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پروستات </w:t>
      </w:r>
    </w:p>
    <w:p w:rsidR="00174E95" w:rsidRPr="00CD462B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اثر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تجویز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پیش‌درمانی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پنتوکسی‌فیلین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خوراکی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درد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بعد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عمل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جراحی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بروز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هایپرآلژزیای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ثانویه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بیماران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تحت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عمل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جراحی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آپاندکتومی </w:t>
      </w:r>
    </w:p>
    <w:p w:rsidR="00174E95" w:rsidRPr="00CD462B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ارزيابي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تاثير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پلاسماي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غني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پلاكت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ترميم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زخم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محل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سزارين </w:t>
      </w:r>
    </w:p>
    <w:p w:rsidR="00174E95" w:rsidRPr="00CD462B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اثربخشی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افزودن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متفورمین به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رژیم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درمانی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بیماران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مبتلا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کولیت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اولسراتیو</w:t>
      </w:r>
    </w:p>
    <w:p w:rsidR="00174E95" w:rsidRDefault="00174E95" w:rsidP="00174E95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lang w:bidi="fa-IR"/>
        </w:rPr>
      </w:pP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تاثیر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افزودن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تادافیل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تامسولوسین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درمان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احتباس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حاد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ادراری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بیماران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مبتلا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هایپر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پلازی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خوش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خیم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62B">
        <w:rPr>
          <w:rFonts w:asciiTheme="majorBidi" w:hAnsiTheme="majorBidi" w:cs="B Nazanin" w:hint="cs"/>
          <w:sz w:val="24"/>
          <w:szCs w:val="24"/>
          <w:rtl/>
          <w:lang w:bidi="fa-IR"/>
        </w:rPr>
        <w:t>پروستات</w:t>
      </w:r>
      <w:r w:rsidRPr="00CD462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:rsidR="004764A9" w:rsidRDefault="004764A9" w:rsidP="00174E95">
      <w:pPr>
        <w:bidi/>
      </w:pPr>
    </w:p>
    <w:sectPr w:rsidR="004764A9" w:rsidSect="00174E95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3F24"/>
    <w:multiLevelType w:val="hybridMultilevel"/>
    <w:tmpl w:val="25EA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0"/>
    <w:rsid w:val="00174E95"/>
    <w:rsid w:val="004764A9"/>
    <w:rsid w:val="00E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2A72"/>
  <w15:chartTrackingRefBased/>
  <w15:docId w15:val="{D89145DE-CD8F-4B59-824F-C509D0A1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4E95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74E95"/>
    <w:rPr>
      <w:rFonts w:ascii="Times New Roman" w:eastAsia="Times New Roman" w:hAnsi="Times New Roman" w:cs="Traditional Arab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</dc:creator>
  <cp:keywords/>
  <dc:description/>
  <cp:lastModifiedBy>Payam</cp:lastModifiedBy>
  <cp:revision>2</cp:revision>
  <dcterms:created xsi:type="dcterms:W3CDTF">2018-11-10T06:06:00Z</dcterms:created>
  <dcterms:modified xsi:type="dcterms:W3CDTF">2018-11-10T06:07:00Z</dcterms:modified>
</cp:coreProperties>
</file>